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50A5" w14:textId="18A60231" w:rsidR="009A1A72" w:rsidRPr="00D60F86" w:rsidRDefault="009A1A72" w:rsidP="00DE69BE">
      <w:pPr>
        <w:pStyle w:val="berschrift1"/>
        <w:rPr>
          <w:lang w:eastAsia="zh-CN"/>
        </w:rPr>
      </w:pPr>
      <w:r w:rsidRPr="00D60F86">
        <w:t>Wirtgen</w:t>
      </w:r>
      <w:r w:rsidR="002F5818" w:rsidRPr="00D60F86">
        <w:t xml:space="preserve"> | </w:t>
      </w:r>
      <w:r w:rsidR="00DE69BE">
        <w:rPr>
          <w:rFonts w:hint="eastAsia"/>
          <w:lang w:eastAsia="zh-CN"/>
        </w:rPr>
        <w:t>使用</w:t>
      </w:r>
      <w:r w:rsidR="00DE69BE">
        <w:rPr>
          <w:rFonts w:ascii="Microsoft JhengHei" w:eastAsia="Microsoft JhengHei" w:hAnsi="Microsoft JhengHei" w:cs="Microsoft JhengHei" w:hint="eastAsia"/>
          <w:lang w:eastAsia="zh-CN"/>
        </w:rPr>
        <w:t>维</w:t>
      </w:r>
      <w:r w:rsidR="00DE69BE">
        <w:rPr>
          <w:rFonts w:ascii="MS Mincho" w:hAnsi="MS Mincho" w:cs="MS Mincho" w:hint="eastAsia"/>
          <w:lang w:eastAsia="zh-CN"/>
        </w:rPr>
        <w:t>特根新型厂拌冷再生</w:t>
      </w:r>
      <w:r w:rsidR="00DE69BE">
        <w:rPr>
          <w:rFonts w:ascii="Microsoft JhengHei" w:eastAsia="Microsoft JhengHei" w:hAnsi="Microsoft JhengHei" w:cs="Microsoft JhengHei" w:hint="eastAsia"/>
          <w:lang w:eastAsia="zh-CN"/>
        </w:rPr>
        <w:t>设备</w:t>
      </w:r>
      <w:r w:rsidR="00DE69BE">
        <w:rPr>
          <w:rFonts w:ascii="MS Mincho" w:hAnsi="MS Mincho" w:cs="MS Mincho" w:hint="eastAsia"/>
          <w:lang w:eastAsia="zh-CN"/>
        </w:rPr>
        <w:t>在施工</w:t>
      </w:r>
      <w:r w:rsidR="00DE69BE">
        <w:rPr>
          <w:rFonts w:ascii="Microsoft JhengHei" w:eastAsia="Microsoft JhengHei" w:hAnsi="Microsoft JhengHei" w:cs="Microsoft JhengHei" w:hint="eastAsia"/>
          <w:lang w:eastAsia="zh-CN"/>
        </w:rPr>
        <w:t>现场</w:t>
      </w:r>
      <w:r w:rsidR="00DE69BE">
        <w:rPr>
          <w:rFonts w:ascii="MS Mincho" w:hAnsi="MS Mincho" w:cs="MS Mincho" w:hint="eastAsia"/>
          <w:lang w:eastAsia="zh-CN"/>
        </w:rPr>
        <w:t>附近</w:t>
      </w:r>
      <w:r w:rsidR="00DE69BE">
        <w:rPr>
          <w:rFonts w:ascii="Microsoft JhengHei" w:eastAsia="Microsoft JhengHei" w:hAnsi="Microsoft JhengHei" w:cs="Microsoft JhengHei" w:hint="eastAsia"/>
          <w:lang w:eastAsia="zh-CN"/>
        </w:rPr>
        <w:t>进</w:t>
      </w:r>
      <w:r w:rsidR="00DE69BE">
        <w:rPr>
          <w:rFonts w:ascii="MS Mincho" w:hAnsi="MS Mincho" w:cs="MS Mincho" w:hint="eastAsia"/>
          <w:lang w:eastAsia="zh-CN"/>
        </w:rPr>
        <w:t>行</w:t>
      </w:r>
      <w:r w:rsidR="00DE69BE" w:rsidRPr="001A43BD">
        <w:rPr>
          <w:rFonts w:hint="eastAsia"/>
          <w:lang w:eastAsia="zh-CN"/>
        </w:rPr>
        <w:t>可持</w:t>
      </w:r>
      <w:r w:rsidR="00DE69BE" w:rsidRPr="001A43BD">
        <w:rPr>
          <w:rFonts w:ascii="Microsoft JhengHei" w:eastAsia="Microsoft JhengHei" w:hAnsi="Microsoft JhengHei" w:cs="Microsoft JhengHei" w:hint="eastAsia"/>
          <w:lang w:eastAsia="zh-CN"/>
        </w:rPr>
        <w:t>续</w:t>
      </w:r>
      <w:r w:rsidR="00DE69BE">
        <w:rPr>
          <w:rFonts w:hint="eastAsia"/>
          <w:lang w:eastAsia="zh-CN"/>
        </w:rPr>
        <w:t>性再生</w:t>
      </w:r>
    </w:p>
    <w:p w14:paraId="74E3A06C" w14:textId="2086A4DE" w:rsidR="00F353EA" w:rsidRPr="00D60F86" w:rsidRDefault="00F353EA" w:rsidP="00BD5391">
      <w:pPr>
        <w:spacing w:line="276" w:lineRule="auto"/>
        <w:jc w:val="both"/>
        <w:rPr>
          <w:b/>
          <w:iCs/>
          <w:sz w:val="22"/>
        </w:rPr>
      </w:pPr>
    </w:p>
    <w:p w14:paraId="4435AEA4" w14:textId="7F06B559" w:rsidR="00DE69BE" w:rsidRDefault="00DE69BE" w:rsidP="00DE69BE">
      <w:pPr>
        <w:pStyle w:val="Text"/>
        <w:spacing w:line="276" w:lineRule="auto"/>
        <w:rPr>
          <w:b/>
          <w:lang w:eastAsia="zh-CN"/>
        </w:rPr>
      </w:pPr>
      <w:r>
        <w:rPr>
          <w:b/>
          <w:lang w:eastAsia="zh-CN"/>
        </w:rPr>
        <w:t>KMA 240</w:t>
      </w:r>
      <w:r w:rsidR="00DB6D5B">
        <w:rPr>
          <w:b/>
          <w:lang w:eastAsia="zh-CN"/>
        </w:rPr>
        <w:t>(</w:t>
      </w:r>
      <w:r>
        <w:rPr>
          <w:b/>
          <w:lang w:eastAsia="zh-CN"/>
        </w:rPr>
        <w:t>i</w:t>
      </w:r>
      <w:r w:rsidR="00DB6D5B">
        <w:rPr>
          <w:b/>
          <w:lang w:eastAsia="zh-CN"/>
        </w:rPr>
        <w:t>)</w:t>
      </w:r>
      <w:r>
        <w:rPr>
          <w:b/>
          <w:lang w:eastAsia="zh-CN"/>
        </w:rPr>
        <w:t xml:space="preserve"> </w:t>
      </w:r>
      <w:r>
        <w:rPr>
          <w:rFonts w:hint="eastAsia"/>
          <w:b/>
          <w:lang w:eastAsia="zh-CN"/>
        </w:rPr>
        <w:t>移动式厂拌冷再生设备可将不同的建筑材料以环保的方式加工为混合料，产量可达</w:t>
      </w:r>
      <w:r>
        <w:rPr>
          <w:rFonts w:hint="eastAsia"/>
          <w:b/>
          <w:lang w:eastAsia="zh-CN"/>
        </w:rPr>
        <w:t xml:space="preserve"> 240</w:t>
      </w:r>
      <w:r>
        <w:rPr>
          <w:b/>
          <w:lang w:eastAsia="zh-CN"/>
        </w:rPr>
        <w:t xml:space="preserve"> </w:t>
      </w:r>
      <w:r>
        <w:rPr>
          <w:rFonts w:hint="eastAsia"/>
          <w:b/>
          <w:lang w:eastAsia="zh-CN"/>
        </w:rPr>
        <w:t>t</w:t>
      </w:r>
      <w:r>
        <w:rPr>
          <w:b/>
          <w:lang w:eastAsia="zh-CN"/>
        </w:rPr>
        <w:t>/h</w:t>
      </w:r>
      <w:r>
        <w:rPr>
          <w:rFonts w:hint="eastAsia"/>
          <w:b/>
          <w:lang w:eastAsia="zh-CN"/>
        </w:rPr>
        <w:t>。通过这种高效能的解决方案，维特根公司可确保回收的建筑材料以高品质混合料形式重新用于道路建设中。以这种方式新建的道路和工业区，均以承载力高、抗变形能力强以及使用寿命长等特点而令人印象深刻。</w:t>
      </w:r>
    </w:p>
    <w:p w14:paraId="19ED6CFF" w14:textId="77777777" w:rsidR="00796A6B" w:rsidRPr="00740577" w:rsidRDefault="00796A6B" w:rsidP="00BA3DCA">
      <w:pPr>
        <w:jc w:val="both"/>
        <w:rPr>
          <w:sz w:val="22"/>
          <w:szCs w:val="22"/>
          <w:lang w:eastAsia="zh-CN"/>
        </w:rPr>
      </w:pPr>
    </w:p>
    <w:p w14:paraId="5578AE0D" w14:textId="77777777" w:rsidR="00DE69BE" w:rsidRDefault="00DE69BE" w:rsidP="00DE69BE">
      <w:pPr>
        <w:pStyle w:val="Text"/>
        <w:spacing w:line="276" w:lineRule="auto"/>
        <w:rPr>
          <w:rStyle w:val="Hervorhebung"/>
          <w:lang w:eastAsia="zh-CN"/>
        </w:rPr>
      </w:pPr>
      <w:r w:rsidRPr="005A49D6">
        <w:rPr>
          <w:rStyle w:val="Hervorhebung"/>
          <w:rFonts w:hint="eastAsia"/>
          <w:lang w:eastAsia="zh-CN"/>
        </w:rPr>
        <w:t>耐磨路面成功铺设的秘诀</w:t>
      </w:r>
    </w:p>
    <w:p w14:paraId="11BA014B" w14:textId="77777777" w:rsidR="00DE69BE" w:rsidRDefault="00DE69BE" w:rsidP="00DE69BE">
      <w:pPr>
        <w:pStyle w:val="Text"/>
        <w:spacing w:line="276" w:lineRule="auto"/>
        <w:rPr>
          <w:rStyle w:val="Hervorhebung"/>
          <w:lang w:eastAsia="zh-CN"/>
        </w:rPr>
      </w:pPr>
    </w:p>
    <w:p w14:paraId="27D0422F" w14:textId="1727F6D9" w:rsidR="00DE69BE" w:rsidRPr="00D0354A" w:rsidRDefault="00DE69BE" w:rsidP="00DE69BE">
      <w:pPr>
        <w:pStyle w:val="Text"/>
        <w:spacing w:line="276" w:lineRule="auto"/>
        <w:rPr>
          <w:rStyle w:val="Hervorhebung"/>
          <w:b w:val="0"/>
          <w:lang w:eastAsia="zh-CN"/>
        </w:rPr>
      </w:pPr>
      <w:r w:rsidRPr="00287806">
        <w:rPr>
          <w:rStyle w:val="Hervorhebung"/>
          <w:b w:val="0"/>
          <w:lang w:eastAsia="zh-CN"/>
        </w:rPr>
        <w:t>KMA 240</w:t>
      </w:r>
      <w:r w:rsidR="00DB6D5B">
        <w:rPr>
          <w:rStyle w:val="Hervorhebung"/>
          <w:b w:val="0"/>
          <w:lang w:eastAsia="zh-CN"/>
        </w:rPr>
        <w:t>(</w:t>
      </w:r>
      <w:r w:rsidRPr="00287806">
        <w:rPr>
          <w:rStyle w:val="Hervorhebung"/>
          <w:b w:val="0"/>
          <w:lang w:eastAsia="zh-CN"/>
        </w:rPr>
        <w:t>i</w:t>
      </w:r>
      <w:r w:rsidR="00DB6D5B">
        <w:rPr>
          <w:rStyle w:val="Hervorhebung"/>
          <w:b w:val="0"/>
          <w:lang w:eastAsia="zh-CN"/>
        </w:rPr>
        <w:t>)</w:t>
      </w:r>
      <w:r>
        <w:rPr>
          <w:rStyle w:val="Hervorhebung"/>
          <w:b w:val="0"/>
          <w:lang w:eastAsia="zh-CN"/>
        </w:rPr>
        <w:t xml:space="preserve"> </w:t>
      </w:r>
      <w:r>
        <w:rPr>
          <w:rStyle w:val="Hervorhebung"/>
          <w:rFonts w:hint="eastAsia"/>
          <w:b w:val="0"/>
          <w:lang w:eastAsia="zh-CN"/>
        </w:rPr>
        <w:t>厂拌冷再生设备拌制的冷混合料能够立即投入使用，可理想地用于不同类型的基层路面建设。除了水稳基层</w:t>
      </w:r>
      <w:r>
        <w:rPr>
          <w:rStyle w:val="Hervorhebung"/>
          <w:rFonts w:hint="eastAsia"/>
          <w:b w:val="0"/>
          <w:lang w:eastAsia="zh-CN"/>
        </w:rPr>
        <w:t xml:space="preserve"> </w:t>
      </w:r>
      <w:r>
        <w:rPr>
          <w:rStyle w:val="Hervorhebung"/>
          <w:b w:val="0"/>
          <w:lang w:eastAsia="zh-CN"/>
        </w:rPr>
        <w:t xml:space="preserve">(CTB) </w:t>
      </w:r>
      <w:r>
        <w:rPr>
          <w:rStyle w:val="Hervorhebung"/>
          <w:rFonts w:hint="eastAsia"/>
          <w:b w:val="0"/>
          <w:lang w:eastAsia="zh-CN"/>
        </w:rPr>
        <w:t>和碾压混凝土</w:t>
      </w:r>
      <w:r>
        <w:rPr>
          <w:rStyle w:val="Hervorhebung"/>
          <w:rFonts w:hint="eastAsia"/>
          <w:b w:val="0"/>
          <w:lang w:eastAsia="zh-CN"/>
        </w:rPr>
        <w:t xml:space="preserve"> </w:t>
      </w:r>
      <w:r>
        <w:rPr>
          <w:rStyle w:val="Hervorhebung"/>
          <w:b w:val="0"/>
          <w:lang w:eastAsia="zh-CN"/>
        </w:rPr>
        <w:t xml:space="preserve">(RCC) </w:t>
      </w:r>
      <w:r>
        <w:rPr>
          <w:rStyle w:val="Hervorhebung"/>
          <w:rFonts w:hint="eastAsia"/>
          <w:b w:val="0"/>
          <w:lang w:eastAsia="zh-CN"/>
        </w:rPr>
        <w:t>材料，该设备还可生产沥青稳定基层材料（通过乳化沥青或泡沫沥青）。这些不同的冷混合料拥有广泛的用途，包括：高速公路建设、普通道路和小路以及停车场或工业区的建设。</w:t>
      </w:r>
    </w:p>
    <w:p w14:paraId="7B87D7CB" w14:textId="77777777" w:rsidR="00DE69BE" w:rsidRDefault="00DE69BE" w:rsidP="00DE69BE">
      <w:pPr>
        <w:pStyle w:val="Text"/>
        <w:spacing w:line="276" w:lineRule="auto"/>
        <w:rPr>
          <w:rStyle w:val="Hervorhebung"/>
          <w:lang w:eastAsia="zh-CN"/>
        </w:rPr>
      </w:pPr>
    </w:p>
    <w:p w14:paraId="256E74F8" w14:textId="6A6C7F84" w:rsidR="00DE69BE" w:rsidRDefault="00DE69BE" w:rsidP="00DE69BE">
      <w:pPr>
        <w:pStyle w:val="Text"/>
        <w:spacing w:line="276" w:lineRule="auto"/>
        <w:rPr>
          <w:b/>
          <w:iCs/>
          <w:lang w:eastAsia="zh-CN"/>
        </w:rPr>
      </w:pPr>
      <w:r>
        <w:rPr>
          <w:b/>
          <w:iCs/>
          <w:lang w:eastAsia="zh-CN"/>
        </w:rPr>
        <w:t>KMA 240</w:t>
      </w:r>
      <w:r w:rsidR="00DB6D5B">
        <w:rPr>
          <w:b/>
          <w:iCs/>
          <w:lang w:eastAsia="zh-CN"/>
        </w:rPr>
        <w:t>(</w:t>
      </w:r>
      <w:r>
        <w:rPr>
          <w:b/>
          <w:iCs/>
          <w:lang w:eastAsia="zh-CN"/>
        </w:rPr>
        <w:t>i</w:t>
      </w:r>
      <w:r w:rsidR="00DB6D5B">
        <w:rPr>
          <w:b/>
          <w:iCs/>
          <w:lang w:eastAsia="zh-CN"/>
        </w:rPr>
        <w:t>)</w:t>
      </w:r>
      <w:r>
        <w:rPr>
          <w:rFonts w:hint="eastAsia"/>
          <w:b/>
          <w:iCs/>
          <w:lang w:eastAsia="zh-CN"/>
        </w:rPr>
        <w:t>：每五分钟便生产</w:t>
      </w:r>
      <w:r>
        <w:rPr>
          <w:rFonts w:hint="eastAsia"/>
          <w:b/>
          <w:iCs/>
          <w:lang w:eastAsia="zh-CN"/>
        </w:rPr>
        <w:t xml:space="preserve"> 20</w:t>
      </w:r>
      <w:r>
        <w:rPr>
          <w:b/>
          <w:iCs/>
          <w:lang w:eastAsia="zh-CN"/>
        </w:rPr>
        <w:t xml:space="preserve"> </w:t>
      </w:r>
      <w:r>
        <w:rPr>
          <w:rFonts w:hint="eastAsia"/>
          <w:b/>
          <w:iCs/>
          <w:lang w:eastAsia="zh-CN"/>
        </w:rPr>
        <w:t>吨冷再生料</w:t>
      </w:r>
    </w:p>
    <w:p w14:paraId="198A0911" w14:textId="77777777" w:rsidR="00DE69BE" w:rsidRDefault="00DE69BE" w:rsidP="00DE69BE">
      <w:pPr>
        <w:pStyle w:val="Text"/>
        <w:spacing w:line="276" w:lineRule="auto"/>
        <w:rPr>
          <w:lang w:eastAsia="zh-CN"/>
        </w:rPr>
      </w:pPr>
    </w:p>
    <w:p w14:paraId="5F8A82C7" w14:textId="39935DC3" w:rsidR="00DE69BE" w:rsidRDefault="00DE69BE" w:rsidP="00DE69BE">
      <w:pPr>
        <w:pStyle w:val="Text"/>
        <w:spacing w:line="276" w:lineRule="auto"/>
        <w:rPr>
          <w:iCs/>
          <w:lang w:eastAsia="zh-CN"/>
        </w:rPr>
      </w:pPr>
      <w:r>
        <w:rPr>
          <w:rFonts w:hint="eastAsia"/>
          <w:lang w:eastAsia="zh-CN"/>
        </w:rPr>
        <w:t>厂拌冷再生设备安装于一个平板半拖车上，并配有独立的发动机。这种移动式设计可确保设备灵活地转场并迅速设置就位。新型的厂拌冷再生设备，不仅兼容了在全球取得成功的上一代机型</w:t>
      </w:r>
      <w:r>
        <w:rPr>
          <w:rFonts w:hint="eastAsia"/>
          <w:lang w:eastAsia="zh-CN"/>
        </w:rPr>
        <w:t xml:space="preserve"> </w:t>
      </w:r>
      <w:r>
        <w:rPr>
          <w:lang w:eastAsia="zh-CN"/>
        </w:rPr>
        <w:t>KMA 220</w:t>
      </w:r>
      <w:r w:rsidR="00DB6D5B">
        <w:rPr>
          <w:lang w:eastAsia="zh-CN"/>
        </w:rPr>
        <w:t>(</w:t>
      </w:r>
      <w:r>
        <w:rPr>
          <w:rFonts w:hint="eastAsia"/>
          <w:lang w:eastAsia="zh-CN"/>
        </w:rPr>
        <w:t>i</w:t>
      </w:r>
      <w:r w:rsidR="00DB6D5B">
        <w:rPr>
          <w:lang w:eastAsia="zh-CN"/>
        </w:rPr>
        <w:t>)</w:t>
      </w:r>
      <w:r>
        <w:rPr>
          <w:lang w:eastAsia="zh-CN"/>
        </w:rPr>
        <w:t xml:space="preserve"> </w:t>
      </w:r>
      <w:r>
        <w:rPr>
          <w:rFonts w:hint="eastAsia"/>
          <w:lang w:eastAsia="zh-CN"/>
        </w:rPr>
        <w:t>的所有优势，还拥有更优异的拌合性能以及创新的水泥计量系统，该系统可通过静态称重实现自动自检校。</w:t>
      </w:r>
    </w:p>
    <w:p w14:paraId="5FC7EF92" w14:textId="77777777" w:rsidR="00DE69BE" w:rsidRDefault="00DE69BE" w:rsidP="00DE69BE">
      <w:pPr>
        <w:pStyle w:val="Text"/>
        <w:rPr>
          <w:lang w:eastAsia="zh-CN"/>
        </w:rPr>
      </w:pPr>
    </w:p>
    <w:p w14:paraId="143EA7BB" w14:textId="77777777" w:rsidR="00DE69BE" w:rsidRDefault="00DE69BE" w:rsidP="00DE69BE">
      <w:pPr>
        <w:pStyle w:val="Text"/>
        <w:spacing w:line="276" w:lineRule="auto"/>
        <w:rPr>
          <w:lang w:eastAsia="zh-CN"/>
        </w:rPr>
      </w:pPr>
      <w:r>
        <w:rPr>
          <w:rFonts w:hint="eastAsia"/>
          <w:lang w:eastAsia="zh-CN"/>
        </w:rPr>
        <w:t>强劲的六缸柴油发动机专为该设备的高拌合能力（高达</w:t>
      </w:r>
      <w:r>
        <w:rPr>
          <w:rFonts w:hint="eastAsia"/>
          <w:lang w:eastAsia="zh-CN"/>
        </w:rPr>
        <w:t xml:space="preserve"> 240</w:t>
      </w:r>
      <w:r>
        <w:rPr>
          <w:lang w:eastAsia="zh-CN"/>
        </w:rPr>
        <w:t xml:space="preserve"> </w:t>
      </w:r>
      <w:r>
        <w:rPr>
          <w:rFonts w:hint="eastAsia"/>
          <w:lang w:eastAsia="zh-CN"/>
        </w:rPr>
        <w:t>t</w:t>
      </w:r>
      <w:r>
        <w:rPr>
          <w:lang w:eastAsia="zh-CN"/>
        </w:rPr>
        <w:t>/h</w:t>
      </w:r>
      <w:r>
        <w:rPr>
          <w:rFonts w:hint="eastAsia"/>
          <w:lang w:eastAsia="zh-CN"/>
        </w:rPr>
        <w:t>）而设计。得益于高效的隔音罩壳，其噪音排放量很低。柴油机运行十分经济，一箱柴油可持续使用两天时间。此外，其低废气排放量还可使其在市区施工。</w:t>
      </w:r>
    </w:p>
    <w:p w14:paraId="42B575CB" w14:textId="77777777" w:rsidR="00DE69BE" w:rsidRDefault="00DE69BE" w:rsidP="00DE69BE">
      <w:pPr>
        <w:pStyle w:val="Text"/>
        <w:spacing w:line="276" w:lineRule="auto"/>
        <w:rPr>
          <w:lang w:eastAsia="zh-CN"/>
        </w:rPr>
      </w:pPr>
    </w:p>
    <w:p w14:paraId="4674C3D0" w14:textId="77777777" w:rsidR="00DE69BE" w:rsidRDefault="00DE69BE" w:rsidP="00DE69BE">
      <w:pPr>
        <w:pStyle w:val="Text"/>
        <w:spacing w:line="276" w:lineRule="auto"/>
        <w:rPr>
          <w:iCs/>
          <w:lang w:eastAsia="zh-CN"/>
        </w:rPr>
      </w:pPr>
      <w:r>
        <w:rPr>
          <w:rFonts w:hint="eastAsia"/>
          <w:lang w:eastAsia="zh-CN"/>
        </w:rPr>
        <w:t>拌合能力高达</w:t>
      </w:r>
      <w:r>
        <w:rPr>
          <w:rFonts w:hint="eastAsia"/>
          <w:lang w:eastAsia="zh-CN"/>
        </w:rPr>
        <w:t xml:space="preserve"> 240</w:t>
      </w:r>
      <w:r>
        <w:rPr>
          <w:lang w:eastAsia="zh-CN"/>
        </w:rPr>
        <w:t xml:space="preserve"> </w:t>
      </w:r>
      <w:r>
        <w:rPr>
          <w:rFonts w:hint="eastAsia"/>
          <w:lang w:eastAsia="zh-CN"/>
        </w:rPr>
        <w:t>t</w:t>
      </w:r>
      <w:r>
        <w:rPr>
          <w:lang w:eastAsia="zh-CN"/>
        </w:rPr>
        <w:t>/h</w:t>
      </w:r>
      <w:r>
        <w:rPr>
          <w:rFonts w:hint="eastAsia"/>
          <w:lang w:eastAsia="zh-CN"/>
        </w:rPr>
        <w:t>，该设备每五分钟便能装满一辆载重</w:t>
      </w:r>
      <w:r>
        <w:rPr>
          <w:rFonts w:hint="eastAsia"/>
          <w:lang w:eastAsia="zh-CN"/>
        </w:rPr>
        <w:t xml:space="preserve"> 20</w:t>
      </w:r>
      <w:r>
        <w:rPr>
          <w:lang w:eastAsia="zh-CN"/>
        </w:rPr>
        <w:t xml:space="preserve"> </w:t>
      </w:r>
      <w:r>
        <w:rPr>
          <w:rFonts w:hint="eastAsia"/>
          <w:lang w:eastAsia="zh-CN"/>
        </w:rPr>
        <w:t>吨的卡车。因此，每天可完成</w:t>
      </w:r>
      <w:r>
        <w:rPr>
          <w:rFonts w:hint="eastAsia"/>
          <w:lang w:eastAsia="zh-CN"/>
        </w:rPr>
        <w:t xml:space="preserve"> 1</w:t>
      </w:r>
      <w:r>
        <w:rPr>
          <w:lang w:eastAsia="zh-CN"/>
        </w:rPr>
        <w:t>,</w:t>
      </w:r>
      <w:r>
        <w:rPr>
          <w:rFonts w:hint="eastAsia"/>
          <w:lang w:eastAsia="zh-CN"/>
        </w:rPr>
        <w:t>400</w:t>
      </w:r>
      <w:r>
        <w:rPr>
          <w:lang w:eastAsia="zh-CN"/>
        </w:rPr>
        <w:t xml:space="preserve"> </w:t>
      </w:r>
      <w:r>
        <w:rPr>
          <w:rFonts w:hint="eastAsia"/>
          <w:lang w:eastAsia="zh-CN"/>
        </w:rPr>
        <w:t xml:space="preserve">m </w:t>
      </w:r>
      <w:r>
        <w:rPr>
          <w:rFonts w:hint="eastAsia"/>
          <w:lang w:eastAsia="zh-CN"/>
        </w:rPr>
        <w:t>长、</w:t>
      </w:r>
      <w:r>
        <w:rPr>
          <w:rFonts w:hint="eastAsia"/>
          <w:lang w:eastAsia="zh-CN"/>
        </w:rPr>
        <w:t>4</w:t>
      </w:r>
      <w:r>
        <w:rPr>
          <w:lang w:eastAsia="zh-CN"/>
        </w:rPr>
        <w:t xml:space="preserve"> </w:t>
      </w:r>
      <w:r>
        <w:rPr>
          <w:rFonts w:hint="eastAsia"/>
          <w:lang w:eastAsia="zh-CN"/>
        </w:rPr>
        <w:t>m</w:t>
      </w:r>
      <w:r>
        <w:rPr>
          <w:lang w:eastAsia="zh-CN"/>
        </w:rPr>
        <w:t xml:space="preserve"> </w:t>
      </w:r>
      <w:r>
        <w:rPr>
          <w:rFonts w:hint="eastAsia"/>
          <w:lang w:eastAsia="zh-CN"/>
        </w:rPr>
        <w:t>宽、</w:t>
      </w:r>
      <w:r>
        <w:rPr>
          <w:rFonts w:hint="eastAsia"/>
          <w:lang w:eastAsia="zh-CN"/>
        </w:rPr>
        <w:t>15</w:t>
      </w:r>
      <w:r>
        <w:rPr>
          <w:lang w:eastAsia="zh-CN"/>
        </w:rPr>
        <w:t xml:space="preserve"> </w:t>
      </w:r>
      <w:r>
        <w:rPr>
          <w:rFonts w:hint="eastAsia"/>
          <w:lang w:eastAsia="zh-CN"/>
        </w:rPr>
        <w:t>cm</w:t>
      </w:r>
      <w:r>
        <w:rPr>
          <w:lang w:eastAsia="zh-CN"/>
        </w:rPr>
        <w:t xml:space="preserve"> </w:t>
      </w:r>
      <w:r>
        <w:rPr>
          <w:rFonts w:hint="eastAsia"/>
          <w:lang w:eastAsia="zh-CN"/>
        </w:rPr>
        <w:t>厚的水稳基层或沥青稳定基层路面。</w:t>
      </w:r>
    </w:p>
    <w:p w14:paraId="0888DEF4" w14:textId="77777777" w:rsidR="00DE69BE" w:rsidRDefault="00DE69BE" w:rsidP="00DE69BE">
      <w:pPr>
        <w:pStyle w:val="Text"/>
        <w:spacing w:line="276" w:lineRule="auto"/>
        <w:rPr>
          <w:iCs/>
          <w:lang w:eastAsia="zh-CN"/>
        </w:rPr>
      </w:pPr>
    </w:p>
    <w:p w14:paraId="05DDE8B2" w14:textId="77777777" w:rsidR="00DE69BE" w:rsidRDefault="00DE69BE" w:rsidP="00DE69BE">
      <w:pPr>
        <w:pStyle w:val="Text"/>
        <w:spacing w:line="276" w:lineRule="auto"/>
        <w:rPr>
          <w:b/>
          <w:iCs/>
          <w:lang w:eastAsia="zh-CN"/>
        </w:rPr>
      </w:pPr>
      <w:r w:rsidRPr="00660AFB">
        <w:rPr>
          <w:rFonts w:hint="eastAsia"/>
          <w:b/>
          <w:iCs/>
          <w:lang w:eastAsia="zh-CN"/>
        </w:rPr>
        <w:t>可加工多种不同材料并拥有更高拌合能力</w:t>
      </w:r>
    </w:p>
    <w:p w14:paraId="2D34B507" w14:textId="77777777" w:rsidR="00DE69BE" w:rsidRPr="00373451" w:rsidRDefault="00DE69BE" w:rsidP="00DE69BE">
      <w:pPr>
        <w:pStyle w:val="Text"/>
        <w:spacing w:line="276" w:lineRule="auto"/>
        <w:rPr>
          <w:b/>
          <w:iCs/>
          <w:lang w:eastAsia="zh-CN"/>
        </w:rPr>
      </w:pPr>
    </w:p>
    <w:p w14:paraId="5A11A881" w14:textId="19844A63" w:rsidR="00DE69BE" w:rsidRPr="00D60D1F" w:rsidRDefault="00DE69BE" w:rsidP="00DE69BE">
      <w:pPr>
        <w:autoSpaceDE w:val="0"/>
        <w:autoSpaceDN w:val="0"/>
        <w:adjustRightInd w:val="0"/>
        <w:rPr>
          <w:sz w:val="22"/>
          <w:lang w:eastAsia="zh-CN"/>
        </w:rPr>
      </w:pPr>
      <w:r w:rsidRPr="00D60D1F">
        <w:rPr>
          <w:sz w:val="22"/>
          <w:lang w:eastAsia="zh-CN"/>
        </w:rPr>
        <w:t>KMA 240</w:t>
      </w:r>
      <w:r w:rsidR="00DB6D5B">
        <w:rPr>
          <w:sz w:val="22"/>
          <w:lang w:eastAsia="zh-CN"/>
        </w:rPr>
        <w:t>(</w:t>
      </w:r>
      <w:r w:rsidRPr="00D60D1F">
        <w:rPr>
          <w:sz w:val="22"/>
          <w:lang w:eastAsia="zh-CN"/>
        </w:rPr>
        <w:t>i</w:t>
      </w:r>
      <w:r w:rsidR="00DB6D5B">
        <w:rPr>
          <w:sz w:val="22"/>
          <w:lang w:eastAsia="zh-CN"/>
        </w:rPr>
        <w:t>)</w:t>
      </w:r>
      <w:r w:rsidRPr="00D60D1F">
        <w:rPr>
          <w:sz w:val="22"/>
          <w:lang w:eastAsia="zh-CN"/>
        </w:rPr>
        <w:t xml:space="preserve"> </w:t>
      </w:r>
      <w:r w:rsidRPr="00D60D1F">
        <w:rPr>
          <w:rFonts w:hint="eastAsia"/>
          <w:sz w:val="22"/>
          <w:lang w:eastAsia="zh-CN"/>
        </w:rPr>
        <w:t>的一个显著特点，是它能够拌合多种不同的非粘结性筑路原材料，轮式装载机可将这些材料通过设备的振动格栅喂入其料斗中。它所生产的冷混合料，可以来源于新级配骨料、</w:t>
      </w:r>
      <w:r>
        <w:rPr>
          <w:rFonts w:hint="eastAsia"/>
          <w:sz w:val="22"/>
          <w:lang w:eastAsia="zh-CN"/>
        </w:rPr>
        <w:t>各种铣刨料</w:t>
      </w:r>
      <w:r w:rsidRPr="00D60D1F">
        <w:rPr>
          <w:rFonts w:hint="eastAsia"/>
          <w:sz w:val="22"/>
          <w:lang w:eastAsia="zh-CN"/>
        </w:rPr>
        <w:t>及粘结剂。沥青</w:t>
      </w:r>
      <w:r>
        <w:rPr>
          <w:rFonts w:hint="eastAsia"/>
          <w:sz w:val="22"/>
          <w:lang w:eastAsia="zh-CN"/>
        </w:rPr>
        <w:t>铣刨料、</w:t>
      </w:r>
      <w:r w:rsidRPr="00D60D1F">
        <w:rPr>
          <w:rFonts w:hint="eastAsia"/>
          <w:sz w:val="22"/>
          <w:lang w:eastAsia="zh-CN"/>
        </w:rPr>
        <w:t>其它来自于</w:t>
      </w:r>
      <w:r>
        <w:rPr>
          <w:rFonts w:hint="eastAsia"/>
          <w:sz w:val="22"/>
          <w:lang w:eastAsia="zh-CN"/>
        </w:rPr>
        <w:t>旧</w:t>
      </w:r>
      <w:r w:rsidRPr="00D60D1F">
        <w:rPr>
          <w:rFonts w:hint="eastAsia"/>
          <w:sz w:val="22"/>
          <w:lang w:eastAsia="zh-CN"/>
        </w:rPr>
        <w:t>路面的回收材料以及</w:t>
      </w:r>
      <w:r w:rsidRPr="005341C0">
        <w:rPr>
          <w:rFonts w:hint="eastAsia"/>
          <w:sz w:val="22"/>
          <w:lang w:eastAsia="zh-CN"/>
        </w:rPr>
        <w:t>回收的水泥混凝土加工材料</w:t>
      </w:r>
      <w:r w:rsidRPr="00D60D1F">
        <w:rPr>
          <w:rFonts w:hint="eastAsia"/>
          <w:sz w:val="22"/>
          <w:lang w:eastAsia="zh-CN"/>
        </w:rPr>
        <w:t>，均能够被环保地用于新路面的建设中。回收材料全部得到重新利用不仅显著减少了</w:t>
      </w:r>
      <w:r w:rsidRPr="00D60D1F">
        <w:rPr>
          <w:sz w:val="22"/>
          <w:lang w:eastAsia="zh-CN"/>
        </w:rPr>
        <w:t xml:space="preserve"> </w:t>
      </w:r>
      <w:r w:rsidRPr="00522301">
        <w:rPr>
          <w:sz w:val="22"/>
          <w:szCs w:val="22"/>
          <w:lang w:eastAsia="zh-CN"/>
        </w:rPr>
        <w:t>CO</w:t>
      </w:r>
      <w:r w:rsidRPr="00522301">
        <w:rPr>
          <w:iCs/>
          <w:sz w:val="22"/>
          <w:szCs w:val="22"/>
          <w:vertAlign w:val="subscript"/>
          <w:lang w:eastAsia="zh-CN"/>
        </w:rPr>
        <w:t>2</w:t>
      </w:r>
      <w:r w:rsidRPr="00522301">
        <w:rPr>
          <w:sz w:val="32"/>
          <w:szCs w:val="22"/>
          <w:lang w:eastAsia="zh-CN"/>
        </w:rPr>
        <w:t xml:space="preserve"> </w:t>
      </w:r>
      <w:r w:rsidRPr="00D60D1F">
        <w:rPr>
          <w:rFonts w:hint="eastAsia"/>
          <w:sz w:val="22"/>
          <w:lang w:eastAsia="zh-CN"/>
        </w:rPr>
        <w:t>的排放，大大节省了自然资源，还最大程度地降低了施工成本并缩短了工期。</w:t>
      </w:r>
    </w:p>
    <w:p w14:paraId="1ED07A13" w14:textId="77777777" w:rsidR="00DE69BE" w:rsidRDefault="00DE69BE" w:rsidP="00DE69BE">
      <w:pPr>
        <w:pStyle w:val="Text"/>
        <w:spacing w:line="276" w:lineRule="auto"/>
        <w:rPr>
          <w:b/>
          <w:bCs/>
          <w:lang w:eastAsia="zh-CN"/>
        </w:rPr>
      </w:pPr>
    </w:p>
    <w:p w14:paraId="5882872E" w14:textId="310819BF" w:rsidR="00DE69BE" w:rsidRDefault="00DE69BE" w:rsidP="00DE69BE">
      <w:pPr>
        <w:pStyle w:val="Text"/>
        <w:spacing w:line="276" w:lineRule="auto"/>
        <w:rPr>
          <w:b/>
          <w:bCs/>
          <w:lang w:eastAsia="zh-CN"/>
        </w:rPr>
      </w:pPr>
      <w:r>
        <w:rPr>
          <w:rFonts w:hint="eastAsia"/>
          <w:b/>
          <w:bCs/>
          <w:lang w:eastAsia="zh-CN"/>
        </w:rPr>
        <w:t>理想的计量可确保更快地制备混合料</w:t>
      </w:r>
    </w:p>
    <w:p w14:paraId="2288C38F" w14:textId="77777777" w:rsidR="00DE69BE" w:rsidRPr="00D659F9" w:rsidRDefault="00DE69BE" w:rsidP="00DE69BE">
      <w:pPr>
        <w:pStyle w:val="Text"/>
        <w:spacing w:line="276" w:lineRule="auto"/>
        <w:rPr>
          <w:b/>
          <w:iCs/>
          <w:lang w:eastAsia="zh-CN"/>
        </w:rPr>
      </w:pPr>
    </w:p>
    <w:p w14:paraId="73C3023D" w14:textId="77DCF2B7" w:rsidR="00DE69BE" w:rsidRPr="003358A0" w:rsidRDefault="00DE69BE" w:rsidP="00DE69BE">
      <w:pPr>
        <w:autoSpaceDE w:val="0"/>
        <w:autoSpaceDN w:val="0"/>
        <w:adjustRightInd w:val="0"/>
        <w:rPr>
          <w:sz w:val="22"/>
          <w:lang w:eastAsia="zh-CN"/>
        </w:rPr>
      </w:pPr>
      <w:r w:rsidRPr="003358A0">
        <w:rPr>
          <w:rFonts w:hint="eastAsia"/>
          <w:sz w:val="22"/>
          <w:lang w:eastAsia="zh-CN"/>
        </w:rPr>
        <w:t>料仓或罐车将为厂拌冷再生设备提供粘结剂，例如：热沥青、乳化沥青或水泥。</w:t>
      </w:r>
      <w:r>
        <w:rPr>
          <w:rFonts w:hint="eastAsia"/>
          <w:sz w:val="22"/>
          <w:lang w:eastAsia="zh-CN"/>
        </w:rPr>
        <w:t>新加</w:t>
      </w:r>
      <w:r w:rsidRPr="003358A0">
        <w:rPr>
          <w:rFonts w:hint="eastAsia"/>
          <w:sz w:val="22"/>
          <w:lang w:eastAsia="zh-CN"/>
        </w:rPr>
        <w:t>材料和粘结剂的精准计量，</w:t>
      </w:r>
      <w:r>
        <w:rPr>
          <w:rFonts w:hint="eastAsia"/>
          <w:sz w:val="22"/>
          <w:lang w:eastAsia="zh-CN"/>
        </w:rPr>
        <w:t>是由久经考验的微机控制系统监控，而其</w:t>
      </w:r>
      <w:r w:rsidRPr="003358A0">
        <w:rPr>
          <w:rFonts w:hint="eastAsia"/>
          <w:sz w:val="22"/>
          <w:lang w:eastAsia="zh-CN"/>
        </w:rPr>
        <w:t>用量，</w:t>
      </w:r>
      <w:r>
        <w:rPr>
          <w:rFonts w:hint="eastAsia"/>
          <w:sz w:val="22"/>
          <w:lang w:eastAsia="zh-CN"/>
        </w:rPr>
        <w:t>则</w:t>
      </w:r>
      <w:r w:rsidRPr="003358A0">
        <w:rPr>
          <w:rFonts w:hint="eastAsia"/>
          <w:sz w:val="22"/>
          <w:lang w:eastAsia="zh-CN"/>
        </w:rPr>
        <w:t>由</w:t>
      </w:r>
      <w:r>
        <w:rPr>
          <w:rFonts w:hint="eastAsia"/>
          <w:sz w:val="22"/>
          <w:lang w:eastAsia="zh-CN"/>
        </w:rPr>
        <w:t>道路建设</w:t>
      </w:r>
      <w:r w:rsidRPr="003358A0">
        <w:rPr>
          <w:rFonts w:hint="eastAsia"/>
          <w:sz w:val="22"/>
          <w:lang w:eastAsia="zh-CN"/>
        </w:rPr>
        <w:t>试验室</w:t>
      </w:r>
      <w:r>
        <w:rPr>
          <w:rFonts w:hint="eastAsia"/>
          <w:sz w:val="22"/>
          <w:lang w:eastAsia="zh-CN"/>
        </w:rPr>
        <w:t>的初级试验预先</w:t>
      </w:r>
      <w:r w:rsidRPr="003358A0">
        <w:rPr>
          <w:rFonts w:hint="eastAsia"/>
          <w:sz w:val="22"/>
          <w:lang w:eastAsia="zh-CN"/>
        </w:rPr>
        <w:lastRenderedPageBreak/>
        <w:t>确定。</w:t>
      </w:r>
      <w:r w:rsidRPr="002C3A58">
        <w:rPr>
          <w:sz w:val="22"/>
          <w:lang w:eastAsia="zh-CN"/>
        </w:rPr>
        <w:t>KMA 240</w:t>
      </w:r>
      <w:r w:rsidR="00DB6D5B">
        <w:rPr>
          <w:sz w:val="22"/>
          <w:lang w:eastAsia="zh-CN"/>
        </w:rPr>
        <w:t>(</w:t>
      </w:r>
      <w:r w:rsidRPr="002C3A58">
        <w:rPr>
          <w:sz w:val="22"/>
          <w:lang w:eastAsia="zh-CN"/>
        </w:rPr>
        <w:t>i</w:t>
      </w:r>
      <w:r w:rsidR="00DB6D5B">
        <w:rPr>
          <w:sz w:val="22"/>
          <w:lang w:eastAsia="zh-CN"/>
        </w:rPr>
        <w:t>)</w:t>
      </w:r>
      <w:r w:rsidRPr="00E03700">
        <w:rPr>
          <w:sz w:val="22"/>
          <w:lang w:eastAsia="zh-CN"/>
        </w:rPr>
        <w:t xml:space="preserve"> </w:t>
      </w:r>
      <w:r w:rsidRPr="00E03700">
        <w:rPr>
          <w:rFonts w:hint="eastAsia"/>
          <w:sz w:val="22"/>
          <w:lang w:eastAsia="zh-CN"/>
        </w:rPr>
        <w:t>可</w:t>
      </w:r>
      <w:r>
        <w:rPr>
          <w:rFonts w:hint="eastAsia"/>
          <w:sz w:val="22"/>
          <w:lang w:eastAsia="zh-CN"/>
        </w:rPr>
        <w:t>理想地将均匀的新混合料直接装入卡车或连续生产并将成品料堆料。其侧向卸料皮带向每侧摆动的角度可达</w:t>
      </w:r>
      <w:r>
        <w:rPr>
          <w:rFonts w:hint="eastAsia"/>
          <w:sz w:val="22"/>
          <w:lang w:eastAsia="zh-CN"/>
        </w:rPr>
        <w:t xml:space="preserve"> 55</w:t>
      </w:r>
      <w:r>
        <w:rPr>
          <w:rFonts w:hint="eastAsia"/>
          <w:sz w:val="22"/>
          <w:lang w:eastAsia="zh-CN"/>
        </w:rPr>
        <w:t>°，因此，无论是装载运料卡车还是堆料，都十分灵活方便。</w:t>
      </w:r>
    </w:p>
    <w:p w14:paraId="1B39CE55" w14:textId="77777777" w:rsidR="00DE69BE" w:rsidRPr="003773FA" w:rsidRDefault="00DE69BE" w:rsidP="00DE69BE">
      <w:pPr>
        <w:pStyle w:val="Text"/>
        <w:spacing w:line="276" w:lineRule="auto"/>
        <w:rPr>
          <w:iCs/>
          <w:lang w:eastAsia="zh-CN"/>
        </w:rPr>
      </w:pPr>
    </w:p>
    <w:p w14:paraId="13AD4336" w14:textId="77777777" w:rsidR="00DE69BE" w:rsidRDefault="00DE69BE" w:rsidP="00DE69BE">
      <w:pPr>
        <w:pStyle w:val="Text"/>
        <w:spacing w:line="276" w:lineRule="auto"/>
        <w:rPr>
          <w:b/>
          <w:iCs/>
          <w:lang w:eastAsia="zh-CN"/>
        </w:rPr>
      </w:pPr>
      <w:r>
        <w:rPr>
          <w:rFonts w:hint="eastAsia"/>
          <w:b/>
          <w:iCs/>
          <w:lang w:eastAsia="zh-CN"/>
        </w:rPr>
        <w:t>厂拌冷再生：环保、经济、用途广泛</w:t>
      </w:r>
    </w:p>
    <w:p w14:paraId="78F82829" w14:textId="77777777" w:rsidR="00DE69BE" w:rsidRPr="00FE1280" w:rsidRDefault="00DE69BE" w:rsidP="00DE69BE">
      <w:pPr>
        <w:pStyle w:val="Text"/>
        <w:spacing w:line="276" w:lineRule="auto"/>
        <w:rPr>
          <w:b/>
          <w:iCs/>
          <w:lang w:eastAsia="zh-CN"/>
        </w:rPr>
      </w:pPr>
    </w:p>
    <w:p w14:paraId="632999EA" w14:textId="77777777" w:rsidR="00DE69BE" w:rsidRDefault="00DE69BE" w:rsidP="00DE69BE">
      <w:pPr>
        <w:pStyle w:val="Text"/>
        <w:spacing w:line="276" w:lineRule="auto"/>
        <w:rPr>
          <w:lang w:eastAsia="zh-CN"/>
        </w:rPr>
      </w:pPr>
      <w:r>
        <w:rPr>
          <w:rFonts w:hint="eastAsia"/>
          <w:lang w:eastAsia="zh-CN"/>
        </w:rPr>
        <w:t>维特根冷再生施工是一种环保且经济的再生方式，可就地再生</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通过移动式再生机组将受损路面铣刨并现场加工，然后立即摊铺</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或厂拌再生。</w:t>
      </w:r>
    </w:p>
    <w:p w14:paraId="4E028AF0" w14:textId="77777777" w:rsidR="00DE69BE" w:rsidRDefault="00DE69BE" w:rsidP="00DE69BE">
      <w:pPr>
        <w:pStyle w:val="Text"/>
        <w:spacing w:line="276" w:lineRule="auto"/>
        <w:rPr>
          <w:iCs/>
          <w:lang w:eastAsia="zh-CN"/>
        </w:rPr>
      </w:pPr>
    </w:p>
    <w:p w14:paraId="5298E65D" w14:textId="77777777" w:rsidR="00DE69BE" w:rsidRPr="00522301" w:rsidRDefault="00DE69BE" w:rsidP="00DE69BE">
      <w:pPr>
        <w:pStyle w:val="Text"/>
        <w:spacing w:line="276" w:lineRule="auto"/>
        <w:rPr>
          <w:iCs/>
          <w:lang w:eastAsia="zh-CN"/>
        </w:rPr>
      </w:pPr>
      <w:r>
        <w:rPr>
          <w:rFonts w:hint="eastAsia"/>
          <w:lang w:eastAsia="zh-CN"/>
        </w:rPr>
        <w:t>当拌合站距离工地太远，或工地不具备一次性完成整个再生施工的物流条件时，厂拌冷再生便是其理想的解决方案。</w:t>
      </w:r>
      <w:r>
        <w:rPr>
          <w:rFonts w:hint="eastAsia"/>
          <w:lang w:eastAsia="zh-CN"/>
        </w:rPr>
        <w:t>K</w:t>
      </w:r>
      <w:r>
        <w:rPr>
          <w:lang w:eastAsia="zh-CN"/>
        </w:rPr>
        <w:t xml:space="preserve">MA </w:t>
      </w:r>
      <w:r>
        <w:rPr>
          <w:rFonts w:hint="eastAsia"/>
          <w:lang w:eastAsia="zh-CN"/>
        </w:rPr>
        <w:t>移动式厂拌冷再生设备能够迅速在工地附近安装就位，不仅节约了大量时间和卡车运力，而且十分环保。通过冷再生施工，</w:t>
      </w:r>
      <w:r>
        <w:rPr>
          <w:lang w:eastAsia="zh-CN"/>
        </w:rPr>
        <w:t>CO</w:t>
      </w:r>
      <w:r>
        <w:rPr>
          <w:iCs/>
          <w:vertAlign w:val="subscript"/>
          <w:lang w:eastAsia="zh-CN"/>
        </w:rPr>
        <w:t xml:space="preserve">2 </w:t>
      </w:r>
      <w:r>
        <w:rPr>
          <w:rFonts w:hint="eastAsia"/>
          <w:iCs/>
          <w:lang w:eastAsia="zh-CN"/>
        </w:rPr>
        <w:t>的排放量可减少</w:t>
      </w:r>
      <w:r>
        <w:rPr>
          <w:rFonts w:hint="eastAsia"/>
          <w:iCs/>
          <w:lang w:eastAsia="zh-CN"/>
        </w:rPr>
        <w:t xml:space="preserve"> 70%</w:t>
      </w:r>
      <w:r>
        <w:rPr>
          <w:rFonts w:hint="eastAsia"/>
          <w:iCs/>
          <w:lang w:eastAsia="zh-CN"/>
        </w:rPr>
        <w:t>，运输量减少</w:t>
      </w:r>
      <w:r>
        <w:rPr>
          <w:rFonts w:hint="eastAsia"/>
          <w:iCs/>
          <w:lang w:eastAsia="zh-CN"/>
        </w:rPr>
        <w:t xml:space="preserve"> 90%</w:t>
      </w:r>
      <w:r>
        <w:rPr>
          <w:rFonts w:hint="eastAsia"/>
          <w:iCs/>
          <w:lang w:eastAsia="zh-CN"/>
        </w:rPr>
        <w:t>，施工成本降低</w:t>
      </w:r>
      <w:r>
        <w:rPr>
          <w:rFonts w:hint="eastAsia"/>
          <w:iCs/>
          <w:lang w:eastAsia="zh-CN"/>
        </w:rPr>
        <w:t xml:space="preserve"> 40%</w:t>
      </w:r>
      <w:r>
        <w:rPr>
          <w:rFonts w:hint="eastAsia"/>
          <w:iCs/>
          <w:lang w:eastAsia="zh-CN"/>
        </w:rPr>
        <w:t>。此外，高质量建筑材料也完全得到重新利用。</w:t>
      </w:r>
    </w:p>
    <w:p w14:paraId="4ECA5B12" w14:textId="77777777" w:rsidR="00DE69BE" w:rsidRDefault="00DE69BE" w:rsidP="00DE69BE">
      <w:pPr>
        <w:pStyle w:val="Text"/>
        <w:spacing w:line="276" w:lineRule="auto"/>
        <w:rPr>
          <w:iCs/>
          <w:lang w:eastAsia="zh-CN"/>
        </w:rPr>
      </w:pPr>
    </w:p>
    <w:p w14:paraId="4414A0D9" w14:textId="77777777" w:rsidR="00DE69BE" w:rsidRPr="003773FA" w:rsidRDefault="00DE69BE" w:rsidP="00DE69BE">
      <w:pPr>
        <w:pStyle w:val="Text"/>
        <w:spacing w:line="276" w:lineRule="auto"/>
        <w:rPr>
          <w:iCs/>
          <w:lang w:eastAsia="zh-CN"/>
        </w:rPr>
      </w:pPr>
      <w:r>
        <w:rPr>
          <w:rFonts w:hint="eastAsia"/>
          <w:lang w:eastAsia="zh-CN"/>
        </w:rPr>
        <w:t>因此，维特根冷再生技术不仅代表了理想的可持续性发展，而且在保护自然资源的同时，还节约了大量能源。</w:t>
      </w:r>
    </w:p>
    <w:p w14:paraId="4AB9A7B5" w14:textId="77777777" w:rsidR="00DE69BE" w:rsidRDefault="00DE69BE" w:rsidP="00B43EB0">
      <w:pPr>
        <w:pStyle w:val="HeadlineFotos"/>
        <w:rPr>
          <w:caps w:val="0"/>
        </w:rPr>
      </w:pPr>
    </w:p>
    <w:p w14:paraId="3D4C45C7" w14:textId="77777777" w:rsidR="00DE69BE" w:rsidRDefault="00DE69BE" w:rsidP="00B43EB0">
      <w:pPr>
        <w:pStyle w:val="HeadlineFotos"/>
        <w:rPr>
          <w:caps w:val="0"/>
        </w:rPr>
      </w:pPr>
    </w:p>
    <w:p w14:paraId="3A636DB9" w14:textId="77777777" w:rsidR="00DE69BE" w:rsidRDefault="00DE69BE" w:rsidP="00B43EB0">
      <w:pPr>
        <w:pStyle w:val="HeadlineFotos"/>
        <w:rPr>
          <w:caps w:val="0"/>
        </w:rPr>
      </w:pPr>
    </w:p>
    <w:p w14:paraId="0EC35595" w14:textId="77777777" w:rsidR="00DE69BE" w:rsidRDefault="00DE69BE" w:rsidP="00B43EB0">
      <w:pPr>
        <w:pStyle w:val="HeadlineFotos"/>
        <w:rPr>
          <w:caps w:val="0"/>
        </w:rPr>
      </w:pPr>
    </w:p>
    <w:p w14:paraId="6145BCA5" w14:textId="77777777" w:rsidR="00DE69BE" w:rsidRDefault="00DE69BE" w:rsidP="00B43EB0">
      <w:pPr>
        <w:pStyle w:val="HeadlineFotos"/>
        <w:rPr>
          <w:caps w:val="0"/>
        </w:rPr>
      </w:pPr>
    </w:p>
    <w:p w14:paraId="24BCE662" w14:textId="76B6E395" w:rsidR="00B43EB0" w:rsidRDefault="00DE69BE" w:rsidP="00B43EB0">
      <w:pPr>
        <w:pStyle w:val="HeadlineFotos"/>
      </w:pPr>
      <w:r>
        <w:rPr>
          <w:caps w:val="0"/>
        </w:rPr>
        <w:t>Photos</w:t>
      </w:r>
      <w:r w:rsidR="00B43EB0">
        <w:t>:</w:t>
      </w:r>
    </w:p>
    <w:tbl>
      <w:tblPr>
        <w:tblStyle w:val="Basic"/>
        <w:tblW w:w="0" w:type="auto"/>
        <w:tblCellSpacing w:w="71" w:type="dxa"/>
        <w:tblLook w:val="04A0" w:firstRow="1" w:lastRow="0" w:firstColumn="1" w:lastColumn="0" w:noHBand="0" w:noVBand="1"/>
      </w:tblPr>
      <w:tblGrid>
        <w:gridCol w:w="4921"/>
        <w:gridCol w:w="4576"/>
      </w:tblGrid>
      <w:tr w:rsidR="00C47A8A" w:rsidRPr="00760138" w14:paraId="75569F8D" w14:textId="77777777" w:rsidTr="00B5789B">
        <w:trPr>
          <w:cnfStyle w:val="100000000000" w:firstRow="1" w:lastRow="0" w:firstColumn="0" w:lastColumn="0" w:oddVBand="0" w:evenVBand="0" w:oddHBand="0" w:evenHBand="0" w:firstRowFirstColumn="0" w:firstRowLastColumn="0" w:lastRowFirstColumn="0" w:lastRowLastColumn="0"/>
          <w:trHeight w:val="2270"/>
          <w:tblCellSpacing w:w="71" w:type="dxa"/>
        </w:trPr>
        <w:tc>
          <w:tcPr>
            <w:tcW w:w="4708" w:type="dxa"/>
            <w:tcBorders>
              <w:right w:val="single" w:sz="4" w:space="0" w:color="auto"/>
            </w:tcBorders>
          </w:tcPr>
          <w:p w14:paraId="6184D917" w14:textId="11D83BA8" w:rsidR="00C47A8A" w:rsidRPr="00E04039" w:rsidRDefault="009A1A72" w:rsidP="00B5789B">
            <w:r>
              <w:rPr>
                <w:noProof/>
                <w:lang w:eastAsia="de-DE"/>
              </w:rPr>
              <w:drawing>
                <wp:inline distT="0" distB="0" distL="0" distR="0" wp14:anchorId="2F7566D0" wp14:editId="45F5F7AE">
                  <wp:extent cx="2668378" cy="1680633"/>
                  <wp:effectExtent l="0" t="0" r="0" b="0"/>
                  <wp:docPr id="1"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668378" cy="1680633"/>
                          </a:xfrm>
                          <a:prstGeom prst="rect">
                            <a:avLst/>
                          </a:prstGeom>
                          <a:noFill/>
                          <a:ln>
                            <a:noFill/>
                          </a:ln>
                        </pic:spPr>
                      </pic:pic>
                    </a:graphicData>
                  </a:graphic>
                </wp:inline>
              </w:drawing>
            </w:r>
          </w:p>
        </w:tc>
        <w:tc>
          <w:tcPr>
            <w:tcW w:w="4363" w:type="dxa"/>
          </w:tcPr>
          <w:p w14:paraId="5B2C0E83" w14:textId="77777777" w:rsidR="009A1A72" w:rsidRPr="00487652" w:rsidRDefault="009A1A72" w:rsidP="009A1A72">
            <w:pPr>
              <w:pStyle w:val="berschrift3"/>
              <w:outlineLvl w:val="2"/>
              <w:rPr>
                <w:color w:val="FF0000"/>
              </w:rPr>
            </w:pPr>
            <w:r>
              <w:t>W_graphic</w:t>
            </w:r>
            <w:r w:rsidRPr="00C800DC">
              <w:t>_KMA240i</w:t>
            </w:r>
            <w:r>
              <w:t>_00001</w:t>
            </w:r>
            <w:r w:rsidRPr="00C800DC">
              <w:t>_HI</w:t>
            </w:r>
          </w:p>
          <w:p w14:paraId="5FDDC5D3" w14:textId="3FBDBA60" w:rsidR="00DE69BE" w:rsidRDefault="00DE69BE" w:rsidP="00DE69BE">
            <w:pPr>
              <w:pStyle w:val="Text"/>
              <w:jc w:val="left"/>
              <w:rPr>
                <w:sz w:val="20"/>
                <w:lang w:eastAsia="zh-CN"/>
              </w:rPr>
            </w:pPr>
            <w:bookmarkStart w:id="0" w:name="OLE_LINK3"/>
            <w:r>
              <w:rPr>
                <w:rFonts w:hint="eastAsia"/>
                <w:sz w:val="20"/>
                <w:lang w:eastAsia="zh-CN"/>
              </w:rPr>
              <w:t>维特根新型</w:t>
            </w:r>
            <w:r>
              <w:rPr>
                <w:rFonts w:hint="eastAsia"/>
                <w:sz w:val="20"/>
                <w:lang w:eastAsia="zh-CN"/>
              </w:rPr>
              <w:t xml:space="preserve"> </w:t>
            </w:r>
            <w:r>
              <w:rPr>
                <w:sz w:val="20"/>
                <w:lang w:eastAsia="zh-CN"/>
              </w:rPr>
              <w:t>KMA 240</w:t>
            </w:r>
            <w:r w:rsidR="00DB6D5B">
              <w:rPr>
                <w:sz w:val="20"/>
                <w:lang w:eastAsia="zh-CN"/>
              </w:rPr>
              <w:t>(</w:t>
            </w:r>
            <w:r>
              <w:rPr>
                <w:rFonts w:hint="eastAsia"/>
                <w:sz w:val="20"/>
                <w:lang w:eastAsia="zh-CN"/>
              </w:rPr>
              <w:t>i</w:t>
            </w:r>
            <w:r w:rsidR="00DB6D5B">
              <w:rPr>
                <w:sz w:val="20"/>
                <w:lang w:eastAsia="zh-CN"/>
              </w:rPr>
              <w:t>)</w:t>
            </w:r>
            <w:r>
              <w:rPr>
                <w:sz w:val="20"/>
                <w:lang w:eastAsia="zh-CN"/>
              </w:rPr>
              <w:t xml:space="preserve"> </w:t>
            </w:r>
            <w:r>
              <w:rPr>
                <w:rFonts w:hint="eastAsia"/>
                <w:sz w:val="20"/>
                <w:lang w:eastAsia="zh-CN"/>
              </w:rPr>
              <w:t>厂拌冷再生设备是一款强劲而环保的设备，每五分钟所生产的高质量冷混合料便能装满一辆载重</w:t>
            </w:r>
            <w:r>
              <w:rPr>
                <w:rFonts w:hint="eastAsia"/>
                <w:sz w:val="20"/>
                <w:lang w:eastAsia="zh-CN"/>
              </w:rPr>
              <w:t xml:space="preserve"> 20</w:t>
            </w:r>
            <w:r>
              <w:rPr>
                <w:sz w:val="20"/>
                <w:lang w:eastAsia="zh-CN"/>
              </w:rPr>
              <w:t xml:space="preserve"> </w:t>
            </w:r>
            <w:r>
              <w:rPr>
                <w:rFonts w:hint="eastAsia"/>
                <w:sz w:val="20"/>
                <w:lang w:eastAsia="zh-CN"/>
              </w:rPr>
              <w:t>吨的卡车。</w:t>
            </w:r>
            <w:bookmarkEnd w:id="0"/>
          </w:p>
          <w:p w14:paraId="685DE63D" w14:textId="32FD4681" w:rsidR="00C47A8A" w:rsidRPr="00760138" w:rsidRDefault="00C47A8A" w:rsidP="009A1A72">
            <w:pPr>
              <w:autoSpaceDE w:val="0"/>
              <w:autoSpaceDN w:val="0"/>
              <w:adjustRightInd w:val="0"/>
              <w:rPr>
                <w:sz w:val="20"/>
                <w:szCs w:val="20"/>
              </w:rPr>
            </w:pPr>
          </w:p>
        </w:tc>
      </w:tr>
    </w:tbl>
    <w:p w14:paraId="62853337" w14:textId="77777777" w:rsidR="008755E5" w:rsidRPr="00760138" w:rsidRDefault="008755E5" w:rsidP="008755E5">
      <w:pPr>
        <w:pStyle w:val="Text"/>
      </w:pPr>
    </w:p>
    <w:p w14:paraId="68734587" w14:textId="77777777" w:rsidR="005710C8" w:rsidRPr="00760138" w:rsidRDefault="005710C8" w:rsidP="008755E5">
      <w:pPr>
        <w:pStyle w:val="Text"/>
        <w:rPr>
          <w:i/>
          <w:u w:val="single"/>
        </w:rPr>
      </w:pPr>
    </w:p>
    <w:p w14:paraId="2C43C0EA" w14:textId="77777777" w:rsidR="00DE69BE" w:rsidRDefault="00DE69BE" w:rsidP="00DE69BE">
      <w:pPr>
        <w:pStyle w:val="Text"/>
        <w:rPr>
          <w:lang w:eastAsia="zh-CN"/>
        </w:rPr>
      </w:pPr>
      <w:r w:rsidRPr="003020F1">
        <w:rPr>
          <w:rFonts w:hint="eastAsia"/>
          <w:i/>
          <w:u w:val="single"/>
          <w:lang w:eastAsia="zh-CN"/>
        </w:rPr>
        <w:t>备注</w:t>
      </w:r>
      <w:r w:rsidRPr="005F701A">
        <w:rPr>
          <w:rFonts w:hint="eastAsia"/>
          <w:i/>
          <w:u w:val="single"/>
          <w:lang w:eastAsia="zh-CN"/>
        </w:rPr>
        <w:t>：</w:t>
      </w:r>
      <w:r w:rsidRPr="005F701A">
        <w:rPr>
          <w:rFonts w:hint="eastAsia"/>
          <w:i/>
          <w:lang w:eastAsia="zh-CN"/>
        </w:rPr>
        <w:t>这些图片仅作预览使用。如需印刷发行，请从维特根公司和维特根集团网站下载</w:t>
      </w:r>
      <w:r w:rsidRPr="005F701A">
        <w:rPr>
          <w:rFonts w:hint="eastAsia"/>
          <w:i/>
          <w:lang w:eastAsia="zh-CN"/>
        </w:rPr>
        <w:t xml:space="preserve"> 300 dpi </w:t>
      </w:r>
      <w:r w:rsidRPr="005F701A">
        <w:rPr>
          <w:rFonts w:hint="eastAsia"/>
          <w:i/>
          <w:lang w:eastAsia="zh-CN"/>
        </w:rPr>
        <w:t>的高分辨率图片。</w:t>
      </w:r>
    </w:p>
    <w:p w14:paraId="25129A9E" w14:textId="458B7B37" w:rsidR="00D60F86" w:rsidRPr="00DE69BE" w:rsidRDefault="00DE69BE" w:rsidP="00740577">
      <w:pPr>
        <w:rPr>
          <w:sz w:val="22"/>
        </w:rPr>
      </w:pPr>
      <w:r>
        <w:br w:type="page"/>
      </w: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D8BA70E" w14:textId="55C51ED6" w:rsidR="00B43EB0" w:rsidRPr="00DE69BE" w:rsidRDefault="00DE69BE" w:rsidP="00B43EB0">
            <w:pPr>
              <w:pStyle w:val="HeadlineKontakte"/>
            </w:pPr>
            <w:r>
              <w:rPr>
                <w:rFonts w:hint="eastAsia"/>
                <w:caps w:val="0"/>
                <w:szCs w:val="22"/>
                <w:lang w:eastAsia="zh-CN"/>
              </w:rPr>
              <w:lastRenderedPageBreak/>
              <w:t>了解更多信息，联系方式如下：</w:t>
            </w:r>
          </w:p>
          <w:p w14:paraId="624FF247" w14:textId="77777777" w:rsidR="008755E5" w:rsidRPr="00E04039" w:rsidRDefault="008755E5" w:rsidP="008E7B5E">
            <w:pPr>
              <w:pStyle w:val="Text"/>
            </w:pPr>
            <w:r w:rsidRPr="00E04039">
              <w:t>WIRTGEN GROUP</w:t>
            </w:r>
          </w:p>
          <w:p w14:paraId="300E7831" w14:textId="77777777" w:rsidR="008755E5" w:rsidRPr="00E04039" w:rsidRDefault="002D2EE5" w:rsidP="008E7B5E">
            <w:pPr>
              <w:pStyle w:val="Text"/>
            </w:pPr>
            <w:r w:rsidRPr="00E04039">
              <w:t>Public Relations</w:t>
            </w:r>
          </w:p>
          <w:p w14:paraId="3625C6F1" w14:textId="77777777" w:rsidR="008755E5" w:rsidRPr="00E04039" w:rsidRDefault="008755E5" w:rsidP="008E7B5E">
            <w:pPr>
              <w:pStyle w:val="Text"/>
            </w:pPr>
            <w:r w:rsidRPr="00E04039">
              <w:t>Reinhard-Wirtgen-Straße 2</w:t>
            </w:r>
          </w:p>
          <w:p w14:paraId="624DEEE7" w14:textId="77777777" w:rsidR="008755E5" w:rsidRPr="00E04039" w:rsidRDefault="008755E5" w:rsidP="008E7B5E">
            <w:pPr>
              <w:pStyle w:val="Text"/>
            </w:pPr>
            <w:r w:rsidRPr="00E04039">
              <w:t>53578 Windhagen</w:t>
            </w:r>
          </w:p>
          <w:p w14:paraId="62D30E93" w14:textId="77777777" w:rsidR="008755E5" w:rsidRPr="00E04039" w:rsidRDefault="008755E5" w:rsidP="008E7B5E">
            <w:pPr>
              <w:pStyle w:val="Text"/>
            </w:pPr>
            <w:r w:rsidRPr="00E04039">
              <w:t>Deutschland</w:t>
            </w:r>
          </w:p>
          <w:p w14:paraId="55E30481" w14:textId="77777777" w:rsidR="008755E5" w:rsidRPr="00E04039" w:rsidRDefault="008755E5" w:rsidP="008E7B5E">
            <w:pPr>
              <w:pStyle w:val="Text"/>
            </w:pPr>
          </w:p>
          <w:p w14:paraId="0130A04F" w14:textId="234577D8" w:rsidR="002603EC" w:rsidRPr="00B63FA8" w:rsidRDefault="008755E5" w:rsidP="008E7B5E">
            <w:pPr>
              <w:pStyle w:val="Text"/>
              <w:rPr>
                <w:color w:val="FF0000"/>
              </w:rPr>
            </w:pPr>
            <w:r w:rsidRPr="00E04039">
              <w:t xml:space="preserve">Telefon: +49 (0) 2645 131 – </w:t>
            </w:r>
            <w:r w:rsidR="001A12EC">
              <w:t>1966</w:t>
            </w:r>
            <w:r w:rsidR="002D2EE5" w:rsidRPr="00B63FA8">
              <w:rPr>
                <w:color w:val="FF0000"/>
              </w:rPr>
              <w:t xml:space="preserve"> </w:t>
            </w:r>
          </w:p>
          <w:p w14:paraId="4182A933" w14:textId="77777777" w:rsidR="008755E5" w:rsidRPr="00E04039" w:rsidRDefault="008755E5" w:rsidP="008E7B5E">
            <w:pPr>
              <w:pStyle w:val="Text"/>
            </w:pPr>
            <w:r w:rsidRPr="00E04039">
              <w:t>Telefax: +49 (0) 2645 131 – 499</w:t>
            </w:r>
          </w:p>
          <w:p w14:paraId="4CA1F3B4" w14:textId="77777777" w:rsidR="008755E5" w:rsidRPr="00E04039" w:rsidRDefault="008755E5" w:rsidP="008E7B5E">
            <w:pPr>
              <w:pStyle w:val="Text"/>
            </w:pPr>
            <w:r w:rsidRPr="00E04039">
              <w:t xml:space="preserve">E-Mail: </w:t>
            </w:r>
            <w:r w:rsidR="002D2EE5" w:rsidRPr="00E04039">
              <w:t>PR</w:t>
            </w:r>
            <w:r w:rsidRPr="00E04039">
              <w:t>@wirtgen</w:t>
            </w:r>
            <w:r w:rsidR="002D2EE5" w:rsidRPr="00E04039">
              <w:t>-group</w:t>
            </w:r>
            <w:r w:rsidRPr="00E04039">
              <w:t>.com</w:t>
            </w:r>
          </w:p>
          <w:p w14:paraId="7C0F0E17" w14:textId="77777777" w:rsidR="008755E5" w:rsidRPr="00E04039" w:rsidRDefault="002D2EE5" w:rsidP="008E7B5E">
            <w:pPr>
              <w:pStyle w:val="Text"/>
              <w:rPr>
                <w:lang w:val="en-US"/>
              </w:rPr>
            </w:pPr>
            <w:r w:rsidRPr="00E04039">
              <w:rPr>
                <w:lang w:val="en-US"/>
              </w:rPr>
              <w:t>www.wirtgen-group.com</w:t>
            </w:r>
          </w:p>
          <w:p w14:paraId="689C700E" w14:textId="77777777" w:rsidR="002D2EE5" w:rsidRPr="00E04039" w:rsidRDefault="002D2EE5" w:rsidP="008E7B5E">
            <w:pPr>
              <w:pStyle w:val="Text"/>
            </w:pPr>
          </w:p>
          <w:p w14:paraId="5483B1E9" w14:textId="77777777" w:rsidR="002D2EE5" w:rsidRPr="00E04039" w:rsidRDefault="002D2EE5" w:rsidP="008E7B5E">
            <w:pPr>
              <w:pStyle w:val="Text"/>
            </w:pPr>
          </w:p>
          <w:p w14:paraId="5B4D15E7" w14:textId="77777777" w:rsidR="002D2EE5" w:rsidRPr="00E04039" w:rsidRDefault="002D2EE5" w:rsidP="008E7B5E">
            <w:pPr>
              <w:pStyle w:val="Text"/>
            </w:pPr>
          </w:p>
        </w:tc>
        <w:tc>
          <w:tcPr>
            <w:tcW w:w="4832" w:type="dxa"/>
            <w:tcBorders>
              <w:left w:val="single" w:sz="48" w:space="0" w:color="FFFFFF" w:themeColor="background1"/>
            </w:tcBorders>
          </w:tcPr>
          <w:p w14:paraId="374E2C17" w14:textId="77777777" w:rsidR="008755E5" w:rsidRPr="00E04039" w:rsidRDefault="008755E5" w:rsidP="008E7B5E">
            <w:pPr>
              <w:pStyle w:val="Text"/>
            </w:pPr>
          </w:p>
        </w:tc>
      </w:tr>
    </w:tbl>
    <w:p w14:paraId="5021EEFC" w14:textId="77777777" w:rsidR="00D166AC" w:rsidRPr="00E04039" w:rsidRDefault="00D166AC" w:rsidP="008755E5">
      <w:pPr>
        <w:spacing w:line="280" w:lineRule="atLeast"/>
        <w:jc w:val="both"/>
      </w:pPr>
    </w:p>
    <w:sectPr w:rsidR="00D166AC" w:rsidRPr="00E04039" w:rsidSect="00CA4A09">
      <w:headerReference w:type="default" r:id="rId9"/>
      <w:footerReference w:type="default" r:id="rId10"/>
      <w:headerReference w:type="first" r:id="rId11"/>
      <w:footerReference w:type="first" r:id="rId12"/>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F7DEC2" w14:textId="77777777" w:rsidR="005A388A" w:rsidRDefault="005A388A" w:rsidP="00E55534">
      <w:r>
        <w:separator/>
      </w:r>
    </w:p>
  </w:endnote>
  <w:endnote w:type="continuationSeparator" w:id="0">
    <w:p w14:paraId="2D9C3409" w14:textId="77777777" w:rsidR="005A388A" w:rsidRDefault="005A388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735F9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8D03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16AD03" w14:textId="77777777" w:rsidR="005A388A" w:rsidRDefault="005A388A" w:rsidP="00E55534">
      <w:r>
        <w:separator/>
      </w:r>
    </w:p>
  </w:footnote>
  <w:footnote w:type="continuationSeparator" w:id="0">
    <w:p w14:paraId="43E7B535" w14:textId="77777777" w:rsidR="005A388A" w:rsidRDefault="005A388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EA1B2" w14:textId="77777777" w:rsidR="00533132" w:rsidRPr="00533132" w:rsidRDefault="00BD5391" w:rsidP="00533132">
    <w:pPr>
      <w:pStyle w:val="Kopfzeile"/>
    </w:pP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6189F" w14:textId="77777777" w:rsidR="00533132" w:rsidRDefault="00BD5391">
    <w:pPr>
      <w:pStyle w:val="Kopfzeile"/>
    </w:pP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32719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9pt;height:1499.9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37E3"/>
    <w:rsid w:val="000069E2"/>
    <w:rsid w:val="000148B3"/>
    <w:rsid w:val="00042106"/>
    <w:rsid w:val="0005285B"/>
    <w:rsid w:val="00055529"/>
    <w:rsid w:val="000621DD"/>
    <w:rsid w:val="00066D09"/>
    <w:rsid w:val="000909F1"/>
    <w:rsid w:val="0009665C"/>
    <w:rsid w:val="000A237B"/>
    <w:rsid w:val="000A36D9"/>
    <w:rsid w:val="000C7EF3"/>
    <w:rsid w:val="000D15C3"/>
    <w:rsid w:val="000E24F8"/>
    <w:rsid w:val="00103205"/>
    <w:rsid w:val="0012026F"/>
    <w:rsid w:val="001218DF"/>
    <w:rsid w:val="00124922"/>
    <w:rsid w:val="001315E0"/>
    <w:rsid w:val="00132055"/>
    <w:rsid w:val="001470C1"/>
    <w:rsid w:val="001A12EC"/>
    <w:rsid w:val="001B16BB"/>
    <w:rsid w:val="001C1CC8"/>
    <w:rsid w:val="001E3C89"/>
    <w:rsid w:val="001E4131"/>
    <w:rsid w:val="00222C18"/>
    <w:rsid w:val="00253A2E"/>
    <w:rsid w:val="0025422C"/>
    <w:rsid w:val="002603EC"/>
    <w:rsid w:val="00280DA7"/>
    <w:rsid w:val="0029634D"/>
    <w:rsid w:val="002D0780"/>
    <w:rsid w:val="002D2EE5"/>
    <w:rsid w:val="002E765F"/>
    <w:rsid w:val="002F108B"/>
    <w:rsid w:val="002F24DF"/>
    <w:rsid w:val="002F5818"/>
    <w:rsid w:val="0030316D"/>
    <w:rsid w:val="00306DF5"/>
    <w:rsid w:val="0032774C"/>
    <w:rsid w:val="0034191A"/>
    <w:rsid w:val="00343CC7"/>
    <w:rsid w:val="00344770"/>
    <w:rsid w:val="00384531"/>
    <w:rsid w:val="00384A08"/>
    <w:rsid w:val="003A753A"/>
    <w:rsid w:val="003B56D9"/>
    <w:rsid w:val="003E1CB6"/>
    <w:rsid w:val="003E3CF6"/>
    <w:rsid w:val="003E759F"/>
    <w:rsid w:val="003E7853"/>
    <w:rsid w:val="00403373"/>
    <w:rsid w:val="00406C81"/>
    <w:rsid w:val="00412545"/>
    <w:rsid w:val="00430BB0"/>
    <w:rsid w:val="004324F9"/>
    <w:rsid w:val="00454254"/>
    <w:rsid w:val="00470475"/>
    <w:rsid w:val="00471CB5"/>
    <w:rsid w:val="004A2C0E"/>
    <w:rsid w:val="004B0E04"/>
    <w:rsid w:val="004B1DB7"/>
    <w:rsid w:val="004C3B31"/>
    <w:rsid w:val="004C5DF6"/>
    <w:rsid w:val="004D23D0"/>
    <w:rsid w:val="004D2BE0"/>
    <w:rsid w:val="004E6EF5"/>
    <w:rsid w:val="004F17C6"/>
    <w:rsid w:val="00506409"/>
    <w:rsid w:val="00522806"/>
    <w:rsid w:val="00530E32"/>
    <w:rsid w:val="00533132"/>
    <w:rsid w:val="00533716"/>
    <w:rsid w:val="005649F4"/>
    <w:rsid w:val="005709D9"/>
    <w:rsid w:val="005710C8"/>
    <w:rsid w:val="005711A3"/>
    <w:rsid w:val="00571A5C"/>
    <w:rsid w:val="00573B2B"/>
    <w:rsid w:val="005776E9"/>
    <w:rsid w:val="00595E09"/>
    <w:rsid w:val="005A388A"/>
    <w:rsid w:val="005A4F04"/>
    <w:rsid w:val="005B5793"/>
    <w:rsid w:val="005C65FA"/>
    <w:rsid w:val="005D6B6F"/>
    <w:rsid w:val="005E2793"/>
    <w:rsid w:val="006063D4"/>
    <w:rsid w:val="00620A6C"/>
    <w:rsid w:val="006330A2"/>
    <w:rsid w:val="00642EB6"/>
    <w:rsid w:val="00651E5D"/>
    <w:rsid w:val="00662214"/>
    <w:rsid w:val="00682D41"/>
    <w:rsid w:val="006A1487"/>
    <w:rsid w:val="006A5EE7"/>
    <w:rsid w:val="006C7411"/>
    <w:rsid w:val="006F7602"/>
    <w:rsid w:val="00722A17"/>
    <w:rsid w:val="00723F4F"/>
    <w:rsid w:val="00740577"/>
    <w:rsid w:val="0075761B"/>
    <w:rsid w:val="00757B83"/>
    <w:rsid w:val="00760138"/>
    <w:rsid w:val="0078188A"/>
    <w:rsid w:val="007823C2"/>
    <w:rsid w:val="00791A69"/>
    <w:rsid w:val="00794830"/>
    <w:rsid w:val="00796A6B"/>
    <w:rsid w:val="00797CAA"/>
    <w:rsid w:val="007A0F74"/>
    <w:rsid w:val="007C2658"/>
    <w:rsid w:val="007E20D0"/>
    <w:rsid w:val="007E3DAB"/>
    <w:rsid w:val="00820315"/>
    <w:rsid w:val="008427F2"/>
    <w:rsid w:val="00843B45"/>
    <w:rsid w:val="008536F9"/>
    <w:rsid w:val="00863129"/>
    <w:rsid w:val="008755E5"/>
    <w:rsid w:val="008C2DB2"/>
    <w:rsid w:val="008D770E"/>
    <w:rsid w:val="008F6D63"/>
    <w:rsid w:val="0090337E"/>
    <w:rsid w:val="009328FA"/>
    <w:rsid w:val="00936A78"/>
    <w:rsid w:val="00952853"/>
    <w:rsid w:val="009646E4"/>
    <w:rsid w:val="009A1A72"/>
    <w:rsid w:val="009B7C05"/>
    <w:rsid w:val="009C2378"/>
    <w:rsid w:val="009D016F"/>
    <w:rsid w:val="009D1EE6"/>
    <w:rsid w:val="009E251D"/>
    <w:rsid w:val="00A02696"/>
    <w:rsid w:val="00A11072"/>
    <w:rsid w:val="00A171F4"/>
    <w:rsid w:val="00A24EFC"/>
    <w:rsid w:val="00A55453"/>
    <w:rsid w:val="00A63E56"/>
    <w:rsid w:val="00A977CE"/>
    <w:rsid w:val="00AD131F"/>
    <w:rsid w:val="00AE0A6C"/>
    <w:rsid w:val="00AF3B3A"/>
    <w:rsid w:val="00AF4E8E"/>
    <w:rsid w:val="00AF6569"/>
    <w:rsid w:val="00B06265"/>
    <w:rsid w:val="00B2339E"/>
    <w:rsid w:val="00B43EB0"/>
    <w:rsid w:val="00B5232A"/>
    <w:rsid w:val="00B63FA8"/>
    <w:rsid w:val="00B742F0"/>
    <w:rsid w:val="00B90F78"/>
    <w:rsid w:val="00BA3DCA"/>
    <w:rsid w:val="00BD1058"/>
    <w:rsid w:val="00BD5391"/>
    <w:rsid w:val="00BF56B2"/>
    <w:rsid w:val="00C01997"/>
    <w:rsid w:val="00C136DF"/>
    <w:rsid w:val="00C457C3"/>
    <w:rsid w:val="00C47A8A"/>
    <w:rsid w:val="00C644CA"/>
    <w:rsid w:val="00C65C10"/>
    <w:rsid w:val="00C710F8"/>
    <w:rsid w:val="00C73005"/>
    <w:rsid w:val="00C85E18"/>
    <w:rsid w:val="00CA4A09"/>
    <w:rsid w:val="00CC4FD7"/>
    <w:rsid w:val="00CD3241"/>
    <w:rsid w:val="00CF36C9"/>
    <w:rsid w:val="00D166AC"/>
    <w:rsid w:val="00D36BA2"/>
    <w:rsid w:val="00D37CF4"/>
    <w:rsid w:val="00D60F86"/>
    <w:rsid w:val="00D854E4"/>
    <w:rsid w:val="00D97E5D"/>
    <w:rsid w:val="00DB4BB0"/>
    <w:rsid w:val="00DB6D5B"/>
    <w:rsid w:val="00DE18B1"/>
    <w:rsid w:val="00DE69BE"/>
    <w:rsid w:val="00E04039"/>
    <w:rsid w:val="00E14608"/>
    <w:rsid w:val="00E21E67"/>
    <w:rsid w:val="00E30EBF"/>
    <w:rsid w:val="00E316C0"/>
    <w:rsid w:val="00E4529B"/>
    <w:rsid w:val="00E52D70"/>
    <w:rsid w:val="00E55534"/>
    <w:rsid w:val="00E608EC"/>
    <w:rsid w:val="00E914D1"/>
    <w:rsid w:val="00F14B7F"/>
    <w:rsid w:val="00F20920"/>
    <w:rsid w:val="00F353EA"/>
    <w:rsid w:val="00F56318"/>
    <w:rsid w:val="00F74CEA"/>
    <w:rsid w:val="00F75B79"/>
    <w:rsid w:val="00F82525"/>
    <w:rsid w:val="00F97FEA"/>
    <w:rsid w:val="00FA45A3"/>
    <w:rsid w:val="00FA68C2"/>
    <w:rsid w:val="00FB60E1"/>
    <w:rsid w:val="00FC0014"/>
    <w:rsid w:val="00FF032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EastAsi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6B6F"/>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character" w:styleId="Platzhaltertext">
    <w:name w:val="Placeholder Text"/>
    <w:basedOn w:val="Absatz-Standardschriftart"/>
    <w:uiPriority w:val="99"/>
    <w:unhideWhenUsed/>
    <w:rsid w:val="00C47A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0289638">
      <w:bodyDiv w:val="1"/>
      <w:marLeft w:val="0"/>
      <w:marRight w:val="0"/>
      <w:marTop w:val="0"/>
      <w:marBottom w:val="0"/>
      <w:divBdr>
        <w:top w:val="none" w:sz="0" w:space="0" w:color="auto"/>
        <w:left w:val="none" w:sz="0" w:space="0" w:color="auto"/>
        <w:bottom w:val="none" w:sz="0" w:space="0" w:color="auto"/>
        <w:right w:val="none" w:sz="0" w:space="0" w:color="auto"/>
      </w:divBdr>
    </w:div>
    <w:div w:id="19320040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4A53D-1367-4256-B0A2-64E2F591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254</Words>
  <Characters>1602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1853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Vorgrimler Barbara</cp:lastModifiedBy>
  <cp:revision>3</cp:revision>
  <cp:lastPrinted>2021-01-10T17:30:00Z</cp:lastPrinted>
  <dcterms:created xsi:type="dcterms:W3CDTF">2021-01-18T09:14:00Z</dcterms:created>
  <dcterms:modified xsi:type="dcterms:W3CDTF">2021-01-22T15:47:00Z</dcterms:modified>
</cp:coreProperties>
</file>